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107B">
        <w:rPr>
          <w:rFonts w:ascii="Arial" w:eastAsia="Times New Roman" w:hAnsi="Arial" w:cs="Arial"/>
          <w:sz w:val="24"/>
          <w:szCs w:val="24"/>
          <w:lang w:eastAsia="en-GB"/>
        </w:rPr>
        <w:t>Dear BRA Member</w:t>
      </w: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107B">
        <w:rPr>
          <w:rFonts w:ascii="Arial" w:eastAsia="Times New Roman" w:hAnsi="Arial" w:cs="Arial"/>
          <w:sz w:val="24"/>
          <w:szCs w:val="24"/>
          <w:lang w:eastAsia="en-GB"/>
        </w:rPr>
        <w:t>We apologise for the need to co</w:t>
      </w:r>
      <w:bookmarkStart w:id="0" w:name="_GoBack"/>
      <w:bookmarkEnd w:id="0"/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ntact you again, so soon after the herculean effort by Backwell residents in commenting on the Farleigh Fields planning application. This is now </w:t>
      </w:r>
      <w:r w:rsidR="00DB1D67" w:rsidRPr="00CD107B">
        <w:rPr>
          <w:rFonts w:ascii="Arial" w:eastAsia="Times New Roman" w:hAnsi="Arial" w:cs="Arial"/>
          <w:sz w:val="24"/>
          <w:szCs w:val="24"/>
          <w:lang w:eastAsia="en-GB"/>
        </w:rPr>
        <w:t>awaiting</w:t>
      </w: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 the Inquiry in May 2017.</w:t>
      </w: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107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Background</w:t>
      </w: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This email refers to a draft plan to allow 3,600 new dwellings in Nailsea/Backwell to be built in the period 2026 to 2036. </w:t>
      </w:r>
      <w:r w:rsidR="00DB1D67" w:rsidRPr="00DB1D67">
        <w:rPr>
          <w:rFonts w:ascii="Arial" w:eastAsia="Times New Roman" w:hAnsi="Arial" w:cs="Arial"/>
          <w:sz w:val="24"/>
          <w:szCs w:val="24"/>
          <w:lang w:eastAsia="en-GB"/>
        </w:rPr>
        <w:t>This immediately</w:t>
      </w: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 follows the Backwell Neighbourhood Plan which goes up to 2026.</w:t>
      </w:r>
    </w:p>
    <w:p w:rsidR="00DB1D67" w:rsidRPr="00CD107B" w:rsidRDefault="00DB1D67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107B">
        <w:rPr>
          <w:rFonts w:ascii="Arial" w:eastAsia="Times New Roman" w:hAnsi="Arial" w:cs="Arial"/>
          <w:sz w:val="24"/>
          <w:szCs w:val="24"/>
          <w:lang w:eastAsia="en-GB"/>
        </w:rPr>
        <w:t>There is a developing Joint Spatial Plan (JSP), which covers 4 local authorities in</w:t>
      </w:r>
      <w:r w:rsidR="00DB1D67" w:rsidRPr="00DB1D6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the West of England - Bath &amp; N.E. </w:t>
      </w:r>
      <w:r w:rsidR="00DB1D67" w:rsidRPr="00DB1D67">
        <w:rPr>
          <w:rFonts w:ascii="Arial" w:eastAsia="Times New Roman" w:hAnsi="Arial" w:cs="Arial"/>
          <w:sz w:val="24"/>
          <w:szCs w:val="24"/>
          <w:lang w:eastAsia="en-GB"/>
        </w:rPr>
        <w:t>Somerset,</w:t>
      </w: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 Bristol </w:t>
      </w:r>
      <w:r w:rsidR="00DB1D67" w:rsidRPr="00DB1D67">
        <w:rPr>
          <w:rFonts w:ascii="Arial" w:eastAsia="Times New Roman" w:hAnsi="Arial" w:cs="Arial"/>
          <w:sz w:val="24"/>
          <w:szCs w:val="24"/>
          <w:lang w:eastAsia="en-GB"/>
        </w:rPr>
        <w:t>City, North</w:t>
      </w: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 Somerset and South Gloucestershire. This draft plan may be viewed in an </w:t>
      </w:r>
      <w:r w:rsidR="00DB1D67" w:rsidRPr="00DB1D67">
        <w:rPr>
          <w:rFonts w:ascii="Arial" w:eastAsia="Times New Roman" w:hAnsi="Arial" w:cs="Arial"/>
          <w:sz w:val="24"/>
          <w:szCs w:val="24"/>
          <w:lang w:eastAsia="en-GB"/>
        </w:rPr>
        <w:t>18-page</w:t>
      </w: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 document on the website below</w:t>
      </w: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D107B" w:rsidRDefault="00DB1D67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4" w:history="1">
        <w:r w:rsidRPr="00F856B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www.jointplanningwofe.org.uk/consult.ti/JSPEmergingSpatialStrategy/printCompoundDoc?docid=8259188&amp;partid=8259188</w:t>
        </w:r>
      </w:hyperlink>
    </w:p>
    <w:p w:rsidR="00DB1D67" w:rsidRDefault="00DB1D67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The document explains the rationale and priorities, associated with jobs, housing </w:t>
      </w:r>
      <w:proofErr w:type="spellStart"/>
      <w:r w:rsidRPr="00CD107B">
        <w:rPr>
          <w:rFonts w:ascii="Arial" w:eastAsia="Times New Roman" w:hAnsi="Arial" w:cs="Arial"/>
          <w:sz w:val="24"/>
          <w:szCs w:val="24"/>
          <w:lang w:eastAsia="en-GB"/>
        </w:rPr>
        <w:t>etc</w:t>
      </w:r>
      <w:proofErr w:type="spellEnd"/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 in what is described as "one of Europe's fastest growing and most prosperous city regions".</w:t>
      </w: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107B">
        <w:rPr>
          <w:rFonts w:ascii="Arial" w:eastAsia="Times New Roman" w:hAnsi="Arial" w:cs="Arial"/>
          <w:sz w:val="24"/>
          <w:szCs w:val="24"/>
          <w:lang w:eastAsia="en-GB"/>
        </w:rPr>
        <w:t>The document is open to consultation until Monday Dec 19th.</w:t>
      </w: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107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Exhibition in Backwell Parish Hall - Tuesday Nov 22nd 5pm to 7pm</w:t>
      </w: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One of the frustrating aspects of the document is that Nailsea and Backwell have been considered as a single entity, despite their differences in size and characteristics, and the important </w:t>
      </w:r>
      <w:r w:rsidR="00DB1D67" w:rsidRPr="00DB1D67">
        <w:rPr>
          <w:rFonts w:ascii="Arial" w:eastAsia="Times New Roman" w:hAnsi="Arial" w:cs="Arial"/>
          <w:sz w:val="24"/>
          <w:szCs w:val="24"/>
          <w:lang w:eastAsia="en-GB"/>
        </w:rPr>
        <w:t>strategic</w:t>
      </w: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 gap between the two </w:t>
      </w:r>
      <w:r w:rsidR="00DB1D67" w:rsidRPr="00DB1D67">
        <w:rPr>
          <w:rFonts w:ascii="Arial" w:eastAsia="Times New Roman" w:hAnsi="Arial" w:cs="Arial"/>
          <w:sz w:val="24"/>
          <w:szCs w:val="24"/>
          <w:lang w:eastAsia="en-GB"/>
        </w:rPr>
        <w:t>communities.</w:t>
      </w: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 This was also reflected in the original idea to have a proposed consultation /exhibition in Nailsea only. However, Backwell Parish Council (BPC) has </w:t>
      </w:r>
      <w:r w:rsidR="00DB1D67" w:rsidRPr="00DB1D67">
        <w:rPr>
          <w:rFonts w:ascii="Arial" w:eastAsia="Times New Roman" w:hAnsi="Arial" w:cs="Arial"/>
          <w:sz w:val="24"/>
          <w:szCs w:val="24"/>
          <w:lang w:eastAsia="en-GB"/>
        </w:rPr>
        <w:t>requested a</w:t>
      </w: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 consultation in Backwell, and this will take place next Tuesday - as above. This will be part exhibition and part question and answer. Several officers from North Somerset will be attending. BRA and BPC hope that there will be a good turnout for this, as it should be an excellent way for residents to understand what the JSP is trying to achieve.</w:t>
      </w: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107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Unfair to Backwell </w:t>
      </w: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Comments on the JSP may be made up to Dec 19th. We will be suggesting points that you might like to mention in a further communication from us around the end of the month, which will emanate from the BRA official comment currently in preparation. </w:t>
      </w: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Nailsea/Backwell is one of a very few locations chosen to provide housing in this </w:t>
      </w:r>
      <w:r w:rsidR="00DB1D67" w:rsidRPr="00DB1D67">
        <w:rPr>
          <w:rFonts w:ascii="Arial" w:eastAsia="Times New Roman" w:hAnsi="Arial" w:cs="Arial"/>
          <w:sz w:val="24"/>
          <w:szCs w:val="24"/>
          <w:lang w:eastAsia="en-GB"/>
        </w:rPr>
        <w:t>10-year</w:t>
      </w: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 period. Sadly, even though much of the land around the village is Green Belt, all the land to the west, towards </w:t>
      </w:r>
      <w:proofErr w:type="spellStart"/>
      <w:r w:rsidRPr="00CD107B">
        <w:rPr>
          <w:rFonts w:ascii="Arial" w:eastAsia="Times New Roman" w:hAnsi="Arial" w:cs="Arial"/>
          <w:sz w:val="24"/>
          <w:szCs w:val="24"/>
          <w:lang w:eastAsia="en-GB"/>
        </w:rPr>
        <w:t>Chelvey</w:t>
      </w:r>
      <w:proofErr w:type="spellEnd"/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 is not Green Belt, and this is where development would be </w:t>
      </w:r>
      <w:r w:rsidR="00DB1D67" w:rsidRPr="00DB1D67">
        <w:rPr>
          <w:rFonts w:ascii="Arial" w:eastAsia="Times New Roman" w:hAnsi="Arial" w:cs="Arial"/>
          <w:sz w:val="24"/>
          <w:szCs w:val="24"/>
          <w:lang w:eastAsia="en-GB"/>
        </w:rPr>
        <w:t>targeted</w:t>
      </w:r>
      <w:r w:rsidRPr="00CD107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Almost all other areas in North Somerset, such as Clevedon, Portishead, </w:t>
      </w:r>
      <w:proofErr w:type="spellStart"/>
      <w:r w:rsidRPr="00CD107B">
        <w:rPr>
          <w:rFonts w:ascii="Arial" w:eastAsia="Times New Roman" w:hAnsi="Arial" w:cs="Arial"/>
          <w:sz w:val="24"/>
          <w:szCs w:val="24"/>
          <w:lang w:eastAsia="en-GB"/>
        </w:rPr>
        <w:t>Yatton</w:t>
      </w:r>
      <w:proofErr w:type="spellEnd"/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 and Long Ashton have "escaped", along with perhaps obvious candidates elsewhere in </w:t>
      </w:r>
      <w:r w:rsidRPr="00CD107B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this very big </w:t>
      </w:r>
      <w:r w:rsidR="00DB1D67" w:rsidRPr="00DB1D67">
        <w:rPr>
          <w:rFonts w:ascii="Arial" w:eastAsia="Times New Roman" w:hAnsi="Arial" w:cs="Arial"/>
          <w:sz w:val="24"/>
          <w:szCs w:val="24"/>
          <w:lang w:eastAsia="en-GB"/>
        </w:rPr>
        <w:t>region such</w:t>
      </w: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 as Kingswood, </w:t>
      </w:r>
      <w:proofErr w:type="spellStart"/>
      <w:r w:rsidRPr="00CD107B">
        <w:rPr>
          <w:rFonts w:ascii="Arial" w:eastAsia="Times New Roman" w:hAnsi="Arial" w:cs="Arial"/>
          <w:sz w:val="24"/>
          <w:szCs w:val="24"/>
          <w:lang w:eastAsia="en-GB"/>
        </w:rPr>
        <w:t>Almondsbury</w:t>
      </w:r>
      <w:proofErr w:type="spellEnd"/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, Ashton Vale and </w:t>
      </w:r>
      <w:proofErr w:type="spellStart"/>
      <w:r w:rsidRPr="00CD107B">
        <w:rPr>
          <w:rFonts w:ascii="Arial" w:eastAsia="Times New Roman" w:hAnsi="Arial" w:cs="Arial"/>
          <w:sz w:val="24"/>
          <w:szCs w:val="24"/>
          <w:lang w:eastAsia="en-GB"/>
        </w:rPr>
        <w:t>Severnside</w:t>
      </w:r>
      <w:proofErr w:type="spellEnd"/>
      <w:r w:rsidRPr="00CD107B">
        <w:rPr>
          <w:rFonts w:ascii="Arial" w:eastAsia="Times New Roman" w:hAnsi="Arial" w:cs="Arial"/>
          <w:sz w:val="24"/>
          <w:szCs w:val="24"/>
          <w:lang w:eastAsia="en-GB"/>
        </w:rPr>
        <w:t>. The list of reasons for not choosing these includes Green Belt, flooding risk and protection of the countryside.</w:t>
      </w: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The BRA committee feels </w:t>
      </w:r>
      <w:r w:rsidR="00DB1D67" w:rsidRPr="00DB1D67">
        <w:rPr>
          <w:rFonts w:ascii="Arial" w:eastAsia="Times New Roman" w:hAnsi="Arial" w:cs="Arial"/>
          <w:sz w:val="24"/>
          <w:szCs w:val="24"/>
          <w:lang w:eastAsia="en-GB"/>
        </w:rPr>
        <w:t>that.</w:t>
      </w: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107B">
        <w:rPr>
          <w:rFonts w:ascii="Arial" w:eastAsia="Times New Roman" w:hAnsi="Arial" w:cs="Arial"/>
          <w:sz w:val="24"/>
          <w:szCs w:val="24"/>
          <w:lang w:eastAsia="en-GB"/>
        </w:rPr>
        <w:t>- Nailsea and Backwell should be considered as separate communities</w:t>
      </w: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- a 50% increase in the no of dwellings over a </w:t>
      </w:r>
      <w:r w:rsidR="00DB1D67" w:rsidRPr="00DB1D67">
        <w:rPr>
          <w:rFonts w:ascii="Arial" w:eastAsia="Times New Roman" w:hAnsi="Arial" w:cs="Arial"/>
          <w:sz w:val="24"/>
          <w:szCs w:val="24"/>
          <w:lang w:eastAsia="en-GB"/>
        </w:rPr>
        <w:t>10-year</w:t>
      </w: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 period will destroy the character of the village. There are many more suitable areas for major </w:t>
      </w:r>
      <w:r w:rsidR="00DB1D67" w:rsidRPr="00DB1D67">
        <w:rPr>
          <w:rFonts w:ascii="Arial" w:eastAsia="Times New Roman" w:hAnsi="Arial" w:cs="Arial"/>
          <w:sz w:val="24"/>
          <w:szCs w:val="24"/>
          <w:lang w:eastAsia="en-GB"/>
        </w:rPr>
        <w:t>development</w:t>
      </w: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 in the area covered by the JSP</w:t>
      </w: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107B">
        <w:rPr>
          <w:rFonts w:ascii="Arial" w:eastAsia="Times New Roman" w:hAnsi="Arial" w:cs="Arial"/>
          <w:sz w:val="24"/>
          <w:szCs w:val="24"/>
          <w:lang w:eastAsia="en-GB"/>
        </w:rPr>
        <w:t>- the area has virtually no employment sites to make the housing sustainable</w:t>
      </w: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107B">
        <w:rPr>
          <w:rFonts w:ascii="Arial" w:eastAsia="Times New Roman" w:hAnsi="Arial" w:cs="Arial"/>
          <w:sz w:val="24"/>
          <w:szCs w:val="24"/>
          <w:lang w:eastAsia="en-GB"/>
        </w:rPr>
        <w:t>- transport and other infrastructure is currently inadequate, and it is difficult to see how it could readily be improved.</w:t>
      </w: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107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What you can do</w:t>
      </w: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Please look through the JSP if you have chance. </w:t>
      </w: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Go along to the Parish Hall on </w:t>
      </w:r>
      <w:r w:rsidR="00DB1D67" w:rsidRPr="00DB1D67">
        <w:rPr>
          <w:rFonts w:ascii="Arial" w:eastAsia="Times New Roman" w:hAnsi="Arial" w:cs="Arial"/>
          <w:sz w:val="24"/>
          <w:szCs w:val="24"/>
          <w:lang w:eastAsia="en-GB"/>
        </w:rPr>
        <w:t>Tuesday to</w:t>
      </w: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 see the exhibition's maps and explanations.</w:t>
      </w: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107B">
        <w:rPr>
          <w:rFonts w:ascii="Arial" w:eastAsia="Times New Roman" w:hAnsi="Arial" w:cs="Arial"/>
          <w:sz w:val="24"/>
          <w:szCs w:val="24"/>
          <w:lang w:eastAsia="en-GB"/>
        </w:rPr>
        <w:t>Be prepared to make a comment by December 19</w:t>
      </w:r>
      <w:r w:rsidR="00DB1D67" w:rsidRPr="00DB1D67">
        <w:rPr>
          <w:rFonts w:ascii="Arial" w:eastAsia="Times New Roman" w:hAnsi="Arial" w:cs="Arial"/>
          <w:sz w:val="24"/>
          <w:szCs w:val="24"/>
          <w:lang w:eastAsia="en-GB"/>
        </w:rPr>
        <w:t>th,</w:t>
      </w: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 following our summary which you will receive at the end of the month.</w:t>
      </w:r>
    </w:p>
    <w:p w:rsidR="00CD107B" w:rsidRPr="00CD107B" w:rsidRDefault="00CD107B" w:rsidP="00CD1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D107B">
        <w:rPr>
          <w:rFonts w:ascii="Arial" w:eastAsia="Times New Roman" w:hAnsi="Arial" w:cs="Arial"/>
          <w:sz w:val="24"/>
          <w:szCs w:val="24"/>
          <w:lang w:eastAsia="en-GB"/>
        </w:rPr>
        <w:t>Please note that this email bulletin is only going to BRA members. You may like to bring the exhibition to the attention of non-</w:t>
      </w:r>
      <w:r w:rsidR="00DB1D67" w:rsidRPr="00DB1D67">
        <w:rPr>
          <w:rFonts w:ascii="Arial" w:eastAsia="Times New Roman" w:hAnsi="Arial" w:cs="Arial"/>
          <w:sz w:val="24"/>
          <w:szCs w:val="24"/>
          <w:lang w:eastAsia="en-GB"/>
        </w:rPr>
        <w:t>member</w:t>
      </w:r>
      <w:r w:rsidRPr="00CD107B">
        <w:rPr>
          <w:rFonts w:ascii="Arial" w:eastAsia="Times New Roman" w:hAnsi="Arial" w:cs="Arial"/>
          <w:sz w:val="24"/>
          <w:szCs w:val="24"/>
          <w:lang w:eastAsia="en-GB"/>
        </w:rPr>
        <w:t xml:space="preserve"> friends and neighbours.</w:t>
      </w:r>
    </w:p>
    <w:p w:rsidR="00CF633A" w:rsidRPr="00DB1D67" w:rsidRDefault="00CF633A">
      <w:pPr>
        <w:rPr>
          <w:rFonts w:ascii="Arial" w:hAnsi="Arial" w:cs="Arial"/>
        </w:rPr>
      </w:pPr>
    </w:p>
    <w:sectPr w:rsidR="00CF633A" w:rsidRPr="00DB1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7B"/>
    <w:rsid w:val="00CD107B"/>
    <w:rsid w:val="00CF633A"/>
    <w:rsid w:val="00D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556D"/>
  <w15:chartTrackingRefBased/>
  <w15:docId w15:val="{11EB9E76-F987-4D66-956C-B9F9F001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intplanningwofe.org.uk/consult.ti/JSPEmergingSpatialStrategy/printCompoundDoc?docid=8259188&amp;partid=8259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Kemp</dc:creator>
  <cp:keywords/>
  <dc:description/>
  <cp:lastModifiedBy>Margaret Kemp</cp:lastModifiedBy>
  <cp:revision>2</cp:revision>
  <dcterms:created xsi:type="dcterms:W3CDTF">2016-11-30T17:34:00Z</dcterms:created>
  <dcterms:modified xsi:type="dcterms:W3CDTF">2016-11-30T17:44:00Z</dcterms:modified>
</cp:coreProperties>
</file>